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spacing w:before="0" w:after="40"/>
      </w:pPr>
      <w:r>
        <w:rPr>
          <w:b/>
          <w:color w:val="1F3A5F"/>
          <w:sz w:val="56"/>
          <w:szCs w:val="56"/>
        </w:rPr>
        <w:t xml:space="preserve">Marco Ferri</w:t>
      </w:r>
    </w:p>
    <w:p>
      <w:pPr>
        <w:spacing w:before="0" w:after="60"/>
      </w:pPr>
      <w:r>
        <w:rPr>
          <w:b/>
          <w:caps/>
          <w:color w:val="B8893F"/>
          <w:sz w:val="22"/>
          <w:szCs w:val="22"/>
          <w:spacing w:val="30"/>
        </w:rPr>
        <w:t xml:space="preserve">Key Account Manager · Pharma &amp; Life Sciences</w:t>
      </w:r>
    </w:p>
    <w:p>
      <w:pPr>
        <w:spacing w:before="0" w:after="60"/>
        <w:pBdr>
          <w:bottom w:val="single" w:sz="16" w:space="3" w:color="1F3A5F"/>
        </w:pBdr>
      </w:pPr>
      <w:r>
        <w:rPr>
          <w:color w:val="334155"/>
          <w:sz w:val="20"/>
          <w:szCs w:val="20"/>
        </w:rPr>
        <w:t xml:space="preserve">marco.ferri@email.it  ·  +39 340 123 4567  ·  linkedin.com/in/marcoferri  ·  Milano (MI)</w:t>
      </w:r>
    </w:p>
    <w:p>
      <w:pPr>
        <w:spacing w:before="200" w:after="80"/>
        <w:pBdr>
          <w:bottom w:val="single" w:sz="12" w:space="3" w:color="D4A76A"/>
        </w:pBdr>
      </w:pPr>
      <w:r>
        <w:rPr>
          <w:b/>
          <w:caps/>
          <w:color w:val="1F3A5F"/>
          <w:sz w:val="22"/>
          <w:szCs w:val="22"/>
          <w:spacing w:val="30"/>
        </w:rPr>
        <w:t xml:space="preserve">Profilo professionale</w:t>
      </w:r>
    </w:p>
    <w:p>
      <w:pPr>
        <w:spacing w:before="0" w:after="100" w:line="264" w:lineRule="auto"/>
      </w:pPr>
      <w:r>
        <w:rPr>
          <w:color w:val="334155"/>
          <w:sz w:val="22"/>
          <w:szCs w:val="22"/>
        </w:rPr>
        <w:t xml:space="preserve">Key Account Manager con oltre 6 anni di esperienza nel settore farmaceutico specialistico. Comprovata capacità di far crescere il fatturato di area, lanciare nuovi prodotti e costruire relazioni durature con KOL e strutture ospedaliere. Orientato ai risultati, ai dati e alla compliance (GxP).</w:t>
      </w:r>
    </w:p>
    <w:p>
      <w:pPr>
        <w:spacing w:before="200" w:after="80"/>
        <w:pBdr>
          <w:bottom w:val="single" w:sz="12" w:space="3" w:color="D4A76A"/>
        </w:pBdr>
      </w:pPr>
      <w:r>
        <w:rPr>
          <w:b/>
          <w:caps/>
          <w:color w:val="1F3A5F"/>
          <w:sz w:val="22"/>
          <w:szCs w:val="22"/>
          <w:spacing w:val="30"/>
        </w:rPr>
        <w:t xml:space="preserve">Competenze chiave</w:t>
      </w:r>
    </w:p>
    <w:p>
      <w:pPr>
        <w:spacing w:before="0" w:after="100" w:line="264" w:lineRule="auto"/>
      </w:pPr>
      <w:r>
        <w:rPr>
          <w:color w:val="334155"/>
          <w:sz w:val="22"/>
          <w:szCs w:val="22"/>
        </w:rPr>
        <w:t xml:space="preserve">Key Account Management  ·  Market Access  ·  KOL Engagement  ·  Lancio prodotto  ·  CRM Veeva  ·  Negoziazione  ·  Analisi dati &amp; KPI  ·  Compliance / GxP  ·  Public speaking</w:t>
      </w:r>
    </w:p>
    <w:p>
      <w:pPr>
        <w:spacing w:before="200" w:after="80"/>
        <w:pBdr>
          <w:bottom w:val="single" w:sz="12" w:space="3" w:color="D4A76A"/>
        </w:pBdr>
      </w:pPr>
      <w:r>
        <w:rPr>
          <w:b/>
          <w:caps/>
          <w:color w:val="1F3A5F"/>
          <w:sz w:val="22"/>
          <w:szCs w:val="22"/>
          <w:spacing w:val="30"/>
        </w:rPr>
        <w:t xml:space="preserve">Esperienza professionale</w:t>
      </w:r>
    </w:p>
    <w:p>
      <w:pPr>
        <w:spacing w:before="0" w:after="20"/>
        <w:tabs>
          <w:tab w:val="right" w:pos="9638"/>
        </w:tabs>
      </w:pPr>
      <w:r>
        <w:rPr>
          <w:b/>
          <w:color w:val="1F3A5F"/>
          <w:sz w:val="26"/>
          <w:szCs w:val="26"/>
        </w:rPr>
        <w:t xml:space="preserve">Key Account Manager</w:t>
      </w:r>
      <w:r>
        <w:tab/>
      </w:r>
      <w:r>
        <w:rPr>
          <w:b/>
          <w:color w:val="B8893F"/>
          <w:sz w:val="22"/>
          <w:szCs w:val="22"/>
        </w:rPr>
        <w:t xml:space="preserve">2021 – oggi</w:t>
      </w:r>
    </w:p>
    <w:p>
      <w:pPr>
        <w:spacing w:before="0" w:after="60"/>
      </w:pPr>
      <w:r>
        <w:rPr>
          <w:i/>
          <w:color w:val="6C717D"/>
          <w:sz w:val="22"/>
          <w:szCs w:val="22"/>
        </w:rPr>
        <w:t xml:space="preserve">Azienda Farmaceutica S.p.A. — Milano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Gestito un portafoglio di </w:t>
      </w:r>
      <w:r>
        <w:rPr>
          <w:b/>
          <w:color w:val="1F3A5F"/>
        </w:rPr>
        <w:t xml:space="preserve">120 clienti</w:t>
      </w:r>
      <w:r>
        <w:t xml:space="preserve"> tra ospedali e cliniche, generando </w:t>
      </w:r>
      <w:r>
        <w:rPr>
          <w:b/>
          <w:color w:val="1F3A5F"/>
        </w:rPr>
        <w:t xml:space="preserve">4,2 mln € di fatturato</w:t>
      </w:r>
      <w:r>
        <w:t xml:space="preserve"> annuo (+18% YoY).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Coordinato il lancio di </w:t>
      </w:r>
      <w:r>
        <w:rPr>
          <w:b/>
          <w:color w:val="1F3A5F"/>
        </w:rPr>
        <w:t xml:space="preserve">2 farmaci specialistici</w:t>
      </w:r>
      <w:r>
        <w:t xml:space="preserve">, raggiungendo il 92% degli obiettivi di quota nel primo anno.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Sviluppato relazioni con </w:t>
      </w:r>
      <w:r>
        <w:rPr>
          <w:b/>
          <w:color w:val="1F3A5F"/>
        </w:rPr>
        <w:t xml:space="preserve">15 KOL</w:t>
      </w:r>
      <w:r>
        <w:t xml:space="preserve">, con un incremento del 25% delle prescrizioni nell’area di competenza.</w:t>
      </w:r>
    </w:p>
    <w:p>
      <w:pPr>
        <w:spacing w:before="80" w:after="20"/>
        <w:tabs>
          <w:tab w:val="right" w:pos="9638"/>
        </w:tabs>
      </w:pPr>
      <w:r>
        <w:rPr>
          <w:b/>
          <w:color w:val="1F3A5F"/>
          <w:sz w:val="26"/>
          <w:szCs w:val="26"/>
        </w:rPr>
        <w:t xml:space="preserve">Informatore Scientifico del Farmaco</w:t>
      </w:r>
      <w:r>
        <w:tab/>
      </w:r>
      <w:r>
        <w:rPr>
          <w:b/>
          <w:color w:val="B8893F"/>
          <w:sz w:val="22"/>
          <w:szCs w:val="22"/>
        </w:rPr>
        <w:t xml:space="preserve">2018 – 2021</w:t>
      </w:r>
    </w:p>
    <w:p>
      <w:pPr>
        <w:spacing w:before="0" w:after="60"/>
      </w:pPr>
      <w:r>
        <w:rPr>
          <w:i/>
          <w:color w:val="6C717D"/>
          <w:sz w:val="22"/>
          <w:szCs w:val="22"/>
        </w:rPr>
        <w:t xml:space="preserve">Pharma Italia S.r.l. — Bologna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Incrementato la </w:t>
      </w:r>
      <w:r>
        <w:rPr>
          <w:b/>
          <w:color w:val="1F3A5F"/>
        </w:rPr>
        <w:t xml:space="preserve">market share del 12%</w:t>
      </w:r>
      <w:r>
        <w:t xml:space="preserve"> in 3 anni nell’area cardiovascolare.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Organizzato </w:t>
      </w:r>
      <w:r>
        <w:rPr>
          <w:b/>
          <w:color w:val="1F3A5F"/>
        </w:rPr>
        <w:t xml:space="preserve">oltre 30 eventi ECM</w:t>
      </w:r>
      <w:r>
        <w:t xml:space="preserve"> con più di 500 professionisti sanitari coinvolti.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Superato costantemente i target trimestrali, posizionandomi nel </w:t>
      </w:r>
      <w:r>
        <w:rPr>
          <w:b/>
          <w:color w:val="1F3A5F"/>
        </w:rPr>
        <w:t xml:space="preserve">top 10% della forza vendita</w:t>
      </w:r>
      <w:r>
        <w:t xml:space="preserve">.</w:t>
      </w:r>
    </w:p>
    <w:p>
      <w:pPr>
        <w:spacing w:before="80" w:after="20"/>
        <w:tabs>
          <w:tab w:val="right" w:pos="9638"/>
        </w:tabs>
      </w:pPr>
      <w:r>
        <w:rPr>
          <w:b/>
          <w:color w:val="1F3A5F"/>
          <w:sz w:val="26"/>
          <w:szCs w:val="26"/>
        </w:rPr>
        <w:t xml:space="preserve">Sales Representative</w:t>
      </w:r>
      <w:r>
        <w:tab/>
      </w:r>
      <w:r>
        <w:rPr>
          <w:b/>
          <w:color w:val="B8893F"/>
          <w:sz w:val="22"/>
          <w:szCs w:val="22"/>
        </w:rPr>
        <w:t xml:space="preserve">2016 – 2018</w:t>
      </w:r>
    </w:p>
    <w:p>
      <w:pPr>
        <w:spacing w:before="0" w:after="60"/>
      </w:pPr>
      <w:r>
        <w:rPr>
          <w:i/>
          <w:color w:val="6C717D"/>
          <w:sz w:val="22"/>
          <w:szCs w:val="22"/>
        </w:rPr>
        <w:t xml:space="preserve">MedDevice S.r.l. — Verona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Acquisito </w:t>
      </w:r>
      <w:r>
        <w:rPr>
          <w:b/>
          <w:color w:val="1F3A5F"/>
        </w:rPr>
        <w:t xml:space="preserve">40 nuovi clienti</w:t>
      </w:r>
      <w:r>
        <w:t xml:space="preserve"> nel primo anno, superando del 30% l’obiettivo assegnato.</w:t>
      </w:r>
    </w:p>
    <w:p>
      <w:pPr>
        <w:spacing w:before="0" w:after="60" w:line="264" w:lineRule="auto"/>
        <w:ind w:left="300" w:hanging="300"/>
      </w:pPr>
      <w:r>
        <w:rPr>
          <w:b/>
          <w:color w:val="D4A76A"/>
        </w:rPr>
        <w:t xml:space="preserve">•  </w:t>
      </w:r>
      <w:r>
        <w:t xml:space="preserve">Gestito in autonomia l’intero ciclo di vendita, dalla prospezione alla chiusura del contratto.</w:t>
      </w:r>
    </w:p>
    <w:p>
      <w:pPr>
        <w:spacing w:before="200" w:after="80"/>
        <w:pBdr>
          <w:bottom w:val="single" w:sz="12" w:space="3" w:color="D4A76A"/>
        </w:pBdr>
      </w:pPr>
      <w:r>
        <w:rPr>
          <w:b/>
          <w:caps/>
          <w:color w:val="1F3A5F"/>
          <w:sz w:val="22"/>
          <w:szCs w:val="22"/>
          <w:spacing w:val="30"/>
        </w:rPr>
        <w:t xml:space="preserve">Formazione</w:t>
      </w:r>
    </w:p>
    <w:p>
      <w:pPr>
        <w:spacing w:before="0" w:after="10"/>
        <w:tabs>
          <w:tab w:val="right" w:pos="9638"/>
        </w:tabs>
      </w:pPr>
      <w:r>
        <w:rPr>
          <w:b/>
          <w:color w:val="1F3A5F"/>
          <w:sz w:val="24"/>
          <w:szCs w:val="24"/>
        </w:rPr>
        <w:t xml:space="preserve">Laurea Magistrale in Chimica e Tecnologia Farmaceutiche</w:t>
      </w:r>
      <w:r>
        <w:tab/>
      </w:r>
      <w:r>
        <w:rPr>
          <w:b/>
          <w:color w:val="B8893F"/>
          <w:sz w:val="22"/>
          <w:szCs w:val="22"/>
        </w:rPr>
        <w:t xml:space="preserve">2018</w:t>
      </w:r>
    </w:p>
    <w:p>
      <w:pPr>
        <w:spacing w:before="0" w:after="80"/>
      </w:pPr>
      <w:r>
        <w:rPr>
          <w:color w:val="6C717D"/>
          <w:sz w:val="22"/>
          <w:szCs w:val="22"/>
        </w:rPr>
        <w:t xml:space="preserve">Università di Bologna — 110/110 e lode</w:t>
      </w:r>
    </w:p>
    <w:p>
      <w:pPr>
        <w:spacing w:before="0" w:after="10"/>
        <w:tabs>
          <w:tab w:val="right" w:pos="9638"/>
        </w:tabs>
      </w:pPr>
      <w:r>
        <w:rPr>
          <w:b/>
          <w:color w:val="1F3A5F"/>
          <w:sz w:val="24"/>
          <w:szCs w:val="24"/>
        </w:rPr>
        <w:t xml:space="preserve">Master in Market Access &amp; Pharma Management</w:t>
      </w:r>
      <w:r>
        <w:tab/>
      </w:r>
      <w:r>
        <w:rPr>
          <w:b/>
          <w:color w:val="B8893F"/>
          <w:sz w:val="22"/>
          <w:szCs w:val="22"/>
        </w:rPr>
        <w:t xml:space="preserve">2019</w:t>
      </w:r>
    </w:p>
    <w:p>
      <w:pPr>
        <w:spacing w:before="0" w:after="80"/>
      </w:pPr>
      <w:r>
        <w:rPr>
          <w:color w:val="6C717D"/>
          <w:sz w:val="22"/>
          <w:szCs w:val="22"/>
        </w:rPr>
        <w:t xml:space="preserve">MIP – Politecnico di Milano</w:t>
      </w:r>
    </w:p>
    <w:p>
      <w:pPr>
        <w:spacing w:before="200" w:after="80"/>
        <w:pBdr>
          <w:bottom w:val="single" w:sz="12" w:space="3" w:color="D4A76A"/>
        </w:pBdr>
      </w:pPr>
      <w:r>
        <w:rPr>
          <w:b/>
          <w:caps/>
          <w:color w:val="1F3A5F"/>
          <w:sz w:val="22"/>
          <w:szCs w:val="22"/>
          <w:spacing w:val="30"/>
        </w:rPr>
        <w:t xml:space="preserve">Lingue &amp; Certificazioni</w:t>
      </w:r>
    </w:p>
    <w:p>
      <w:pPr>
        <w:spacing w:before="0" w:after="40"/>
      </w:pPr>
      <w:r>
        <w:rPr>
          <w:b/>
          <w:color w:val="1F3A5F"/>
          <w:sz w:val="22"/>
          <w:szCs w:val="22"/>
        </w:rPr>
        <w:t xml:space="preserve">Lingue: </w:t>
      </w:r>
      <w:r>
        <w:rPr>
          <w:color w:val="334155"/>
          <w:sz w:val="22"/>
          <w:szCs w:val="22"/>
        </w:rPr>
        <w:t xml:space="preserve">Italiano (madrelingua)  ·  Inglese (C1)  ·  Francese (B1)</w:t>
      </w:r>
    </w:p>
    <w:p>
      <w:pPr>
        <w:spacing w:before="0" w:after="120"/>
      </w:pPr>
      <w:r>
        <w:rPr>
          <w:b/>
          <w:color w:val="1F3A5F"/>
          <w:sz w:val="22"/>
          <w:szCs w:val="22"/>
        </w:rPr>
        <w:t xml:space="preserve">Certificazioni: </w:t>
      </w:r>
      <w:r>
        <w:rPr>
          <w:color w:val="334155"/>
          <w:sz w:val="22"/>
          <w:szCs w:val="22"/>
        </w:rPr>
        <w:t xml:space="preserve">Informatore Scientifico (2018)  ·  Veeva CRM Advanced (2022)  ·  Patente B, automunito</w:t>
      </w:r>
    </w:p>
    <w:p>
      <w:pPr>
        <w:spacing w:before="120" w:after="0"/>
      </w:pPr>
      <w:r>
        <w:rPr>
          <w:i/>
          <w:color w:val="94A4B8"/>
          <w:sz w:val="18"/>
          <w:szCs w:val="18"/>
        </w:rPr>
        <w:t xml:space="preserve">Autorizzo il trattamento dei dati personali presenti nel CV ai sensi del Reg. UE 2016/679 (GDPR) e del D.Lgs. 196/2003.</w:t>
      </w:r>
    </w:p>
    <w:sectPr>
      <w:pgSz w:w="11906" w:h="16838"/>
      <w:pgMar w:top="1134" w:right="1134" w:bottom="1134" w:left="1134" w:header="708" w:footer="708" w:gutter="0"/>
    </w:sectPr>
  </w:body>
</w:document>
</file>

<file path=word/styles.xml><?xml version="1.0" encoding="utf-8"?>
<w:styles xmlns:w="http://schemas.openxmlformats.org/wordprocessingml/2006/main">
  <w:docDefaults>
    <w:rPrDefault>
      <w:rPr>
        <w:rFonts w:ascii="Calibri" w:hAnsi="Calibri" w:cs="Calibri"/>
        <w:color w:val="334155"/>
        <w:sz w:val="22"/>
        <w:szCs w:val="22"/>
      </w:rPr>
    </w:rPrDefault>
    <w:pPrDefault>
      <w:pPr>
        <w:spacing w:after="120" w:line="276" w:lineRule="auto"/>
      </w:pPr>
    </w:pPrDefault>
  </w:docDefaults>
  <w:style w:type="paragraph" w:default="1" w:styleId="Normal">
    <w:name w:val="Normal"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/Relationships>
</file>